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新疆财政支出绩效自评报告编制要求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700" w:firstLineChars="200"/>
        <w:rPr>
          <w:rFonts w:hint="eastAsia" w:ascii="仿宋_GB2312" w:hAnsi="宋体" w:eastAsia="仿宋_GB2312" w:cs="宋体"/>
          <w:color w:val="000000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spacing w:val="15"/>
          <w:kern w:val="0"/>
          <w:sz w:val="32"/>
          <w:szCs w:val="32"/>
        </w:rPr>
        <w:t>英吉沙县民政局内设6个职能股室，包括：行政办公室、社会救助办公室、优抚安置办公室、救灾办公室、社会事务办公室、地名区划办公室。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_GB2312"/>
          <w:b/>
          <w:bCs/>
          <w:spacing w:val="-4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拟定全县社会福利事业发展规划并组织实施；负责落实社会福利机构管理办法并组织实施；组织拟定促进慈善事业发展规划和相关政策、组织、指导社会捐助工作；负责老年人、孤儿和残疾人等特殊群体权益保障工作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拟定全县社会福利事业发展规划并组织实施；负责落实社会福利机构管理办法并组织实施；组织拟定促进慈善事业发展规划和相关政策、组织、指导社会捐助工作；负责老年人、孤儿和残疾人等特殊群体权益保障工作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社会福利项目预算安排总额为0万元，其中财政资金0万元，自筹资金0万元，2018年实际收到预算资金58.68万元。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58.68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bCs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民生项目按规定核算发放对个人和家庭的补助资金项目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,不存在调整情况。不存在检查验收程序。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英吉沙县民政局依据政策规定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保障项目的顺利实施。项目的实施遵守相关法律法规和业务管理规定，项目资料齐全并及时归档。不定期对项目进度情况进行督导检查，对检查过程中发现的问题及时督促整改，确保了项目按时保质完成。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17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17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经济性：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该项目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属于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民生项目按规定核算发放对个人和家庭的补助资金项目。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效益性：主要分析项目实施后对于经济和社会的影响。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color w:val="auto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长期性项目主要分析下一年度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：县民政局按规定建立社会救助专项资金管理台账及时完成201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年1-12月份服务对象及时足额地发放到位。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无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1、主要经验及做法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2、存在的问题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3、建议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社会救助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为社会救助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1363CCD"/>
    <w:rsid w:val="6B2712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uiPriority w:val="9"/>
    <w:rPr>
      <w:b/>
      <w:bCs/>
    </w:rPr>
  </w:style>
  <w:style w:type="character" w:customStyle="1" w:styleId="27">
    <w:name w:val="标题 7 Char"/>
    <w:basedOn w:val="17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2</TotalTime>
  <ScaleCrop>false</ScaleCrop>
  <LinksUpToDate>false</LinksUpToDate>
  <CharactersWithSpaces>2449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2019-09-07T09:08:07Z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